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Arial" w:cs="Arial" w:eastAsia="Arial" w:hAnsi="Arial"/>
          <w:b/>
          <w:bCs/>
          <w:color w:val="1A3C6E"/>
          <w:sz w:val="36"/>
          <w:szCs w:val="36"/>
        </w:rPr>
        <w:t xml:space="preserve">OUTPATIENT MEDICAL RECORD</w:t>
      </w:r>
    </w:p>
    <w:p>
      <w:pPr>
        <w:spacing w:after="240"/>
        <w:jc w:val="center"/>
      </w:pPr>
      <w:r>
        <w:rPr>
          <w:rFonts w:ascii="Arial" w:cs="Arial" w:eastAsia="Arial" w:hAnsi="Arial"/>
          <w:i/>
          <w:iCs/>
          <w:color w:val="888888"/>
          <w:sz w:val="18"/>
          <w:szCs w:val="18"/>
        </w:rPr>
        <w:t xml:space="preserve">Simulated Case — For Educational &amp; Training Purposes Only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Name</w:t>
            </w:r>
          </w:p>
        </w:tc>
        <w:tc>
          <w:tcPr>
            <w:tcW w:type="dxa" w:w="234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Li Wei</w:t>
            </w:r>
          </w:p>
        </w:tc>
        <w:tc>
          <w:tcPr>
            <w:tcW w:type="dxa" w:w="234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Gender</w:t>
            </w:r>
          </w:p>
        </w:tc>
        <w:tc>
          <w:tcPr>
            <w:tcW w:type="dxa" w:w="234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Male</w:t>
            </w:r>
          </w:p>
        </w:tc>
      </w:tr>
      <w:tr>
        <w:tc>
          <w:tcPr>
            <w:tcW w:type="dxa" w:w="234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Date of Birth</w:t>
            </w:r>
          </w:p>
        </w:tc>
        <w:tc>
          <w:tcPr>
            <w:tcW w:type="dxa" w:w="234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1982-03-15 (Age 44)</w:t>
            </w:r>
          </w:p>
        </w:tc>
        <w:tc>
          <w:tcPr>
            <w:tcW w:type="dxa" w:w="234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Marital Status</w:t>
            </w:r>
          </w:p>
        </w:tc>
        <w:tc>
          <w:tcPr>
            <w:tcW w:type="dxa" w:w="234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Married</w:t>
            </w:r>
          </w:p>
        </w:tc>
      </w:tr>
      <w:tr>
        <w:tc>
          <w:tcPr>
            <w:tcW w:type="dxa" w:w="234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MRN</w:t>
            </w:r>
          </w:p>
        </w:tc>
        <w:tc>
          <w:tcPr>
            <w:tcW w:type="dxa" w:w="234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MRN-2026-084721</w:t>
            </w:r>
          </w:p>
        </w:tc>
        <w:tc>
          <w:tcPr>
            <w:tcW w:type="dxa" w:w="234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Visit No.</w:t>
            </w:r>
          </w:p>
        </w:tc>
        <w:tc>
          <w:tcPr>
            <w:tcW w:type="dxa" w:w="234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OV-20260710-003</w:t>
            </w:r>
          </w:p>
        </w:tc>
      </w:tr>
      <w:tr>
        <w:tc>
          <w:tcPr>
            <w:tcW w:type="dxa" w:w="234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Date of Visit</w:t>
            </w:r>
          </w:p>
        </w:tc>
        <w:tc>
          <w:tcPr>
            <w:tcW w:type="dxa" w:w="234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July 10, 2026</w:t>
            </w:r>
          </w:p>
        </w:tc>
        <w:tc>
          <w:tcPr>
            <w:tcW w:type="dxa" w:w="234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Department</w:t>
            </w:r>
          </w:p>
        </w:tc>
        <w:tc>
          <w:tcPr>
            <w:tcW w:type="dxa" w:w="234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Internal Medicine</w:t>
            </w:r>
          </w:p>
        </w:tc>
      </w:tr>
      <w:tr>
        <w:tc>
          <w:tcPr>
            <w:tcW w:type="dxa" w:w="234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Attending Physician</w:t>
            </w:r>
          </w:p>
        </w:tc>
        <w:tc>
          <w:tcPr>
            <w:tcW w:type="dxa" w:w="234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Dr. Sarah Chen, MD</w:t>
            </w:r>
          </w:p>
        </w:tc>
        <w:tc>
          <w:tcPr>
            <w:tcW w:type="dxa" w:w="234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Insurance</w:t>
            </w:r>
          </w:p>
        </w:tc>
        <w:tc>
          <w:tcPr>
            <w:tcW w:type="dxa" w:w="234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Urban Employee Basic Medical Insurance</w:t>
            </w:r>
          </w:p>
        </w:tc>
      </w:tr>
    </w:tbl>
    <w:p>
      <w:pPr>
        <w:spacing w:before="240"/>
      </w:pPr>
    </w:p>
    <w:p>
      <w:pPr>
        <w:pStyle w:val="Heading1"/>
        <w:spacing w:before="360" w:after="160"/>
      </w:pPr>
      <w:r>
        <w:t xml:space="preserve">1. Chief Complaint (CC)</w:t>
      </w:r>
    </w:p>
    <w:p>
      <w:pPr>
        <w:spacing w:after="100" w:line="360"/>
      </w:pPr>
      <w:r>
        <w:t xml:space="preserve">Persistent cough with yellowish sputum for 7 days, accompanied by fever and right-sided chest discomfort for 2 days.</w:t>
      </w:r>
    </w:p>
    <w:p>
      <w:pPr>
        <w:pBdr>
          <w:bottom w:val="single" w:color="CCCCCC" w:sz="4" w:space="1"/>
        </w:pBdr>
        <w:spacing w:before="60" w:after="60"/>
      </w:pPr>
    </w:p>
    <w:p>
      <w:pPr>
        <w:pStyle w:val="Heading1"/>
        <w:spacing w:before="360" w:after="160"/>
      </w:pPr>
      <w:r>
        <w:t xml:space="preserve">2. History of Present Illness (HPI)</w:t>
      </w:r>
    </w:p>
    <w:p>
      <w:pPr>
        <w:spacing w:after="100" w:line="360"/>
      </w:pPr>
      <w:r>
        <w:t xml:space="preserve">The patient is a 44-year-old male who presents with a 7-day history of productive cough. Symptoms began approximately 7 days ago with a dry, hacking cough that has since progressed to a productive cough with thick, yellowish-green sputum, more pronounced in the morning. The patient estimates sputum volume at approximately 30-40 mL per day. For the past 2 days, he has experienced intermittent fever, with a recorded maximum temperature of 38.8°C at home (measured via digital oral thermometer). The fever is accompanied by chills but no rigors.</w:t>
      </w:r>
    </w:p>
    <w:p>
      <w:pPr>
        <w:spacing w:after="100" w:line="360"/>
      </w:pPr>
      <w:r>
        <w:t xml:space="preserve">Additionally, the patient reports a dull, persistent ache over the right lower chest that worsens with deep inspiration and coughing. He rates the pain as 4/10 at rest and 6/10 during coughing episodes. The pain does not radiate to the shoulder or arm. He denies hemoptysis, wheezing, or significant shortness of breath at rest, though he notes mild dyspnea after climbing two flights of stairs, which he could previously manage without difficulty.</w:t>
      </w:r>
    </w:p>
    <w:p>
      <w:pPr>
        <w:spacing w:after="100" w:line="360"/>
      </w:pPr>
      <w:r>
        <w:t xml:space="preserve">The patient initially self-medicated with over-the-counter dextromethorphan cough syrup and ibuprofen 400 mg every 8 hours for three days, with only minimal relief of fever. He has not taken any antibiotics prior to this visit. He reports decreased appetite over the past three days but has maintained adequate fluid intake. No nausea, vomiting, or diarrhea. No recent travel history. He works in an office environment and denies exposure to known industrial irritants or environmental triggers.</w:t>
      </w:r>
    </w:p>
    <w:p>
      <w:pPr>
        <w:spacing w:after="100" w:line="360"/>
      </w:pPr>
      <w:r>
        <w:t xml:space="preserve">The patient is a current smoker with a 20-pack-year history (one pack per day for approximately 20 years). He reports that his cough has been noticeably worse than his usual 'smoker's cough,' prompting him to seek medical attention.</w:t>
      </w:r>
    </w:p>
    <w:p>
      <w:pPr>
        <w:pBdr>
          <w:bottom w:val="single" w:color="CCCCCC" w:sz="4" w:space="1"/>
        </w:pBdr>
        <w:spacing w:before="60" w:after="60"/>
      </w:pPr>
    </w:p>
    <w:p>
      <w:pPr>
        <w:pStyle w:val="Heading1"/>
        <w:spacing w:before="360" w:after="160"/>
      </w:pPr>
      <w:r>
        <w:t xml:space="preserve">3. Past Medical History (PMH)</w:t>
      </w:r>
    </w:p>
    <w:p>
      <w:pPr>
        <w:pStyle w:val="Heading2"/>
        <w:spacing w:before="240" w:after="120"/>
      </w:pPr>
      <w:r>
        <w:t xml:space="preserve">3.1 Chronic Conditions</w:t>
      </w:r>
    </w:p>
    <w:p>
      <w:pPr>
        <w:spacing w:after="100" w:line="360"/>
      </w:pPr>
      <w:r>
        <w:t xml:space="preserve">Hypertension, diagnosed in 2019. Currently managed with amlodipine 5 mg daily. Patient reports generally good blood pressure control at home (systolic 125-135 mmHg per home monitor).</w:t>
      </w:r>
    </w:p>
    <w:p>
      <w:pPr>
        <w:spacing w:after="100" w:line="360"/>
      </w:pPr>
      <w:r>
        <w:t xml:space="preserve">Hyperlipidemia, diagnosed in 2020. Not currently on pharmacologic treatment; managed with dietary modification. Last lipid panel (December 2025) showed total cholesterol 5.8 mmol/L, LDL 3.6 mmol/L, HDL 1.1 mmol/L.</w:t>
      </w:r>
    </w:p>
    <w:p>
      <w:pPr>
        <w:pStyle w:val="Heading2"/>
        <w:spacing w:before="240" w:after="120"/>
      </w:pPr>
      <w:r>
        <w:t xml:space="preserve">3.2 Surgical History</w:t>
      </w:r>
    </w:p>
    <w:p>
      <w:pPr>
        <w:spacing w:after="100" w:line="360"/>
      </w:pPr>
      <w:r>
        <w:t xml:space="preserve">Appendectomy in 2005, uncomplicated.</w:t>
      </w:r>
    </w:p>
    <w:p>
      <w:pPr>
        <w:pStyle w:val="Heading2"/>
        <w:spacing w:before="240" w:after="120"/>
      </w:pPr>
      <w:r>
        <w:t xml:space="preserve">3.3 Hospitalizations</w:t>
      </w:r>
    </w:p>
    <w:p>
      <w:pPr>
        <w:spacing w:after="100" w:line="360"/>
      </w:pPr>
      <w:r>
        <w:t xml:space="preserve">No prior hospitalizations for respiratory conditions. One admission in 2005 for appendectomy.</w:t>
      </w:r>
    </w:p>
    <w:p>
      <w:pPr>
        <w:pStyle w:val="Heading2"/>
        <w:spacing w:before="240" w:after="120"/>
      </w:pPr>
      <w:r>
        <w:t xml:space="preserve">3.4 Immunizations</w:t>
      </w:r>
    </w:p>
    <w:p>
      <w:pPr>
        <w:spacing w:after="80" w:line="360"/>
      </w:pPr>
      <w:r>
        <w:rPr>
          <w:b/>
          <w:bCs/>
        </w:rPr>
        <w:t xml:space="preserve">Influenza vaccine (current season):</w:t>
      </w:r>
      <w:r>
        <w:rPr>
          <w:i/>
          <w:iCs/>
          <w:color w:val="999999"/>
        </w:rPr>
        <w:t xml:space="preserve">  To be completed</w:t>
      </w:r>
    </w:p>
    <w:p>
      <w:pPr>
        <w:spacing w:after="80" w:line="360"/>
      </w:pPr>
      <w:r>
        <w:rPr>
          <w:b/>
          <w:bCs/>
        </w:rPr>
        <w:t xml:space="preserve">COVID-19 vaccine status:</w:t>
      </w:r>
      <w:r>
        <w:rPr>
          <w:i/>
          <w:iCs/>
          <w:color w:val="999999"/>
        </w:rPr>
        <w:t xml:space="preserve">  To be completed</w:t>
      </w:r>
    </w:p>
    <w:p>
      <w:pPr>
        <w:spacing w:after="100" w:line="360"/>
      </w:pPr>
      <w:r>
        <w:t xml:space="preserve">Pneumococcal vaccine: Not received.</w:t>
      </w:r>
    </w:p>
    <w:p>
      <w:pPr>
        <w:pBdr>
          <w:bottom w:val="single" w:color="CCCCCC" w:sz="4" w:space="1"/>
        </w:pBdr>
        <w:spacing w:before="60" w:after="60"/>
      </w:pPr>
    </w:p>
    <w:p>
      <w:pPr>
        <w:pStyle w:val="Heading1"/>
        <w:spacing w:before="360" w:after="160"/>
      </w:pPr>
      <w:r>
        <w:t xml:space="preserve">4. Allergies and Adverse Drug Reactions</w:t>
      </w:r>
    </w:p>
    <w:p>
      <w:pPr>
        <w:spacing w:after="100" w:line="360"/>
      </w:pPr>
      <w:r>
        <w:t xml:space="preserve">No known drug allergies. No known food allergies. No known environmental allergies. No history of adverse drug reactions.</w:t>
      </w:r>
    </w:p>
    <w:p>
      <w:pPr>
        <w:spacing w:after="80" w:line="360"/>
      </w:pPr>
      <w:r>
        <w:rPr>
          <w:b/>
          <w:bCs/>
        </w:rPr>
        <w:t xml:space="preserve">Latex allergy:</w:t>
      </w:r>
      <w:r>
        <w:rPr>
          <w:i/>
          <w:iCs/>
          <w:color w:val="999999"/>
        </w:rPr>
        <w:t xml:space="preserve">  To be completed</w:t>
      </w:r>
    </w:p>
    <w:p>
      <w:pPr>
        <w:pBdr>
          <w:bottom w:val="single" w:color="CCCCCC" w:sz="4" w:space="1"/>
        </w:pBdr>
        <w:spacing w:before="60" w:after="60"/>
      </w:pPr>
    </w:p>
    <w:p>
      <w:pPr>
        <w:pStyle w:val="Heading1"/>
        <w:spacing w:before="360" w:after="160"/>
      </w:pPr>
      <w:r>
        <w:t xml:space="preserve">5. Family History</w:t>
      </w:r>
    </w:p>
    <w:p>
      <w:pPr>
        <w:spacing w:after="100" w:line="360"/>
      </w:pPr>
      <w:r>
        <w:t xml:space="preserve">Father: Hypertension, type 2 diabetes mellitus, alive at age 72. Coronary artery disease, underwent PCI with stent placement at age 68.</w:t>
      </w:r>
    </w:p>
    <w:p>
      <w:pPr>
        <w:spacing w:after="100" w:line="360"/>
      </w:pPr>
      <w:r>
        <w:t xml:space="preserve">Mother: Hypertension, alive at age 70. No known malignancies.</w:t>
      </w:r>
    </w:p>
    <w:p>
      <w:pPr>
        <w:spacing w:after="100" w:line="360"/>
      </w:pPr>
      <w:r>
        <w:t xml:space="preserve">Siblings: One younger sister, age 40, in good health. No known hereditary conditions.</w:t>
      </w:r>
    </w:p>
    <w:p>
      <w:pPr>
        <w:spacing w:after="80" w:line="360"/>
      </w:pPr>
      <w:r>
        <w:rPr>
          <w:b/>
          <w:bCs/>
        </w:rPr>
        <w:t xml:space="preserve">Family history of pulmonary disease:</w:t>
      </w:r>
      <w:r>
        <w:rPr>
          <w:i/>
          <w:iCs/>
          <w:color w:val="999999"/>
        </w:rPr>
        <w:t xml:space="preserve">  To be completed</w:t>
      </w:r>
    </w:p>
    <w:p>
      <w:pPr>
        <w:spacing w:after="80" w:line="360"/>
      </w:pPr>
      <w:r>
        <w:rPr>
          <w:b/>
          <w:bCs/>
        </w:rPr>
        <w:t xml:space="preserve">Family history of malignancies:</w:t>
      </w:r>
      <w:r>
        <w:rPr>
          <w:i/>
          <w:iCs/>
          <w:color w:val="999999"/>
        </w:rPr>
        <w:t xml:space="preserve">  To be completed</w:t>
      </w:r>
    </w:p>
    <w:p>
      <w:pPr>
        <w:pBdr>
          <w:bottom w:val="single" w:color="CCCCCC" w:sz="4" w:space="1"/>
        </w:pBdr>
        <w:spacing w:before="60" w:after="60"/>
      </w:pPr>
    </w:p>
    <w:p>
      <w:pPr>
        <w:pStyle w:val="Heading1"/>
        <w:spacing w:before="360" w:after="160"/>
      </w:pPr>
      <w:r>
        <w:t xml:space="preserve">6. Social History</w:t>
      </w:r>
    </w:p>
    <w:p>
      <w:pPr>
        <w:spacing w:after="80" w:line="360"/>
      </w:pPr>
      <w:r>
        <w:rPr>
          <w:b/>
          <w:bCs/>
        </w:rPr>
        <w:t xml:space="preserve">Occupation:</w:t>
      </w:r>
      <w:r>
        <w:t xml:space="preserve">  Office worker — administrative manager at a logistics company. Sedentary work, no occupational exposures.</w:t>
      </w:r>
    </w:p>
    <w:p>
      <w:pPr>
        <w:spacing w:after="80" w:line="360"/>
      </w:pPr>
      <w:r>
        <w:rPr>
          <w:b/>
          <w:bCs/>
        </w:rPr>
        <w:t xml:space="preserve">Tobacco use:</w:t>
      </w:r>
      <w:r>
        <w:t xml:space="preserve">  Current smoker. 1 pack per day × 20 years (20 pack-years). Multiple prior quit attempts; most recent attempt lasted 4 months in 2024.</w:t>
      </w:r>
    </w:p>
    <w:p>
      <w:pPr>
        <w:spacing w:after="80" w:line="360"/>
      </w:pPr>
      <w:r>
        <w:rPr>
          <w:b/>
          <w:bCs/>
        </w:rPr>
        <w:t xml:space="preserve">Alcohol use:</w:t>
      </w:r>
      <w:r>
        <w:t xml:space="preserve">  Social drinker — approximately 3-4 standard drinks per week, primarily beer. No history of heavy or binge drinking.</w:t>
      </w:r>
    </w:p>
    <w:p>
      <w:pPr>
        <w:spacing w:after="80" w:line="360"/>
      </w:pPr>
      <w:r>
        <w:rPr>
          <w:b/>
          <w:bCs/>
        </w:rPr>
        <w:t xml:space="preserve">Illicit drug use:</w:t>
      </w:r>
      <w:r>
        <w:t xml:space="preserve">  Denies.</w:t>
      </w:r>
    </w:p>
    <w:p>
      <w:pPr>
        <w:spacing w:after="80" w:line="360"/>
      </w:pPr>
      <w:r>
        <w:rPr>
          <w:b/>
          <w:bCs/>
        </w:rPr>
        <w:t xml:space="preserve">Living situation:</w:t>
      </w:r>
      <w:r>
        <w:t xml:space="preserve">  Lives with spouse and one child (age 12) in an urban apartment. No pets. No known mold or dampness issues at home.</w:t>
      </w:r>
    </w:p>
    <w:p>
      <w:pPr>
        <w:spacing w:after="80" w:line="360"/>
      </w:pPr>
      <w:r>
        <w:rPr>
          <w:b/>
          <w:bCs/>
        </w:rPr>
        <w:t xml:space="preserve">Exercise:</w:t>
      </w:r>
      <w:r>
        <w:t xml:space="preserve">  Sedentary lifestyle. Walks approximately 15 minutes to and from the subway station on weekdays. No regular exercise routine.</w:t>
      </w:r>
    </w:p>
    <w:p>
      <w:r>
        <w:br w:type="page"/>
      </w:r>
    </w:p>
    <w:p>
      <w:pPr>
        <w:pStyle w:val="Heading1"/>
        <w:spacing w:before="360" w:after="160"/>
      </w:pPr>
      <w:r>
        <w:t xml:space="preserve">7. Review of Systems (ROS)</w:t>
      </w:r>
    </w:p>
    <w:p>
      <w:pPr>
        <w:spacing w:after="100" w:line="360"/>
      </w:pPr>
      <w:r>
        <w:t xml:space="preserve">General: Reports fatigue and malaise over the past 3-4 days. No unintended weight loss.</w:t>
      </w:r>
    </w:p>
    <w:p>
      <w:pPr>
        <w:spacing w:after="100" w:line="360"/>
      </w:pPr>
      <w:r>
        <w:t xml:space="preserve">HEENT: Denies headache, vision changes, ear pain, nasal congestion, or sore throat.</w:t>
      </w:r>
    </w:p>
    <w:p>
      <w:pPr>
        <w:spacing w:after="100" w:line="360"/>
      </w:pPr>
      <w:r>
        <w:t xml:space="preserve">Respiratory: Productive cough as detailed in HPI. Mild exertional dyspnea. Right-sided pleuritic chest pain. Denies wheezing or hemoptysis.</w:t>
      </w:r>
    </w:p>
    <w:p>
      <w:pPr>
        <w:spacing w:after="100" w:line="360"/>
      </w:pPr>
      <w:r>
        <w:t xml:space="preserve">Cardiovascular: Denies palpitations, orthopnea, or peripheral edema. Occasional mild chest tightness attributed to coughing.</w:t>
      </w:r>
    </w:p>
    <w:p>
      <w:pPr>
        <w:spacing w:after="100" w:line="360"/>
      </w:pPr>
      <w:r>
        <w:t xml:space="preserve">Gastrointestinal: Decreased appetite. Denies nausea, vomiting, abdominal pain, or changes in bowel habits.</w:t>
      </w:r>
    </w:p>
    <w:p>
      <w:pPr>
        <w:spacing w:after="100" w:line="360"/>
      </w:pPr>
      <w:r>
        <w:t xml:space="preserve">Genitourinary: Denies dysuria, frequency, or urgency.</w:t>
      </w:r>
    </w:p>
    <w:p>
      <w:pPr>
        <w:spacing w:after="100" w:line="360"/>
      </w:pPr>
      <w:r>
        <w:t xml:space="preserve">Musculoskeletal: Denies myalgias or arthralgias. Mild generalized body ache attributed to fever.</w:t>
      </w:r>
    </w:p>
    <w:p>
      <w:pPr>
        <w:spacing w:after="100" w:line="360"/>
      </w:pPr>
      <w:r>
        <w:t xml:space="preserve">Neurological: Denies dizziness, syncope, numbness, or weakness.</w:t>
      </w:r>
    </w:p>
    <w:p>
      <w:pPr>
        <w:spacing w:after="100" w:line="360"/>
      </w:pPr>
      <w:r>
        <w:t xml:space="preserve">Psychiatric: Denies anxiety or depression. Reports feeling 'run down' but mood is stable.</w:t>
      </w:r>
    </w:p>
    <w:p>
      <w:pPr>
        <w:spacing w:after="100" w:line="360"/>
      </w:pPr>
      <w:r>
        <w:t xml:space="preserve">Dermatological: Denies rash, itching, or skin changes.</w:t>
      </w:r>
    </w:p>
    <w:p>
      <w:pPr>
        <w:spacing w:after="100" w:line="360"/>
      </w:pPr>
      <w:r>
        <w:t xml:space="preserve">Endocrine: Denies polydipsia, polyuria, or heat/cold intolerance.</w:t>
      </w:r>
    </w:p>
    <w:p>
      <w:pPr>
        <w:pBdr>
          <w:bottom w:val="single" w:color="CCCCCC" w:sz="4" w:space="1"/>
        </w:pBdr>
        <w:spacing w:before="60" w:after="60"/>
      </w:pPr>
    </w:p>
    <w:p>
      <w:pPr>
        <w:pStyle w:val="Heading1"/>
        <w:spacing w:before="360" w:after="160"/>
      </w:pPr>
      <w:r>
        <w:t xml:space="preserve">8. Physical Examination</w:t>
      </w:r>
    </w:p>
    <w:p>
      <w:pPr>
        <w:pStyle w:val="Heading2"/>
        <w:spacing w:before="240" w:after="120"/>
      </w:pPr>
      <w:r>
        <w:t xml:space="preserve">8.1 Vital Signs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c>
          <w:tcPr>
            <w:tcW w:type="dxa" w:w="156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Temperature</w:t>
            </w:r>
          </w:p>
        </w:tc>
        <w:tc>
          <w:tcPr>
            <w:tcW w:type="dxa" w:w="156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38.4°C (oral)</w:t>
            </w:r>
          </w:p>
        </w:tc>
        <w:tc>
          <w:tcPr>
            <w:tcW w:type="dxa" w:w="156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Heart Rate</w:t>
            </w:r>
          </w:p>
        </w:tc>
        <w:tc>
          <w:tcPr>
            <w:tcW w:type="dxa" w:w="156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96 bpm, regular</w:t>
            </w:r>
          </w:p>
        </w:tc>
        <w:tc>
          <w:tcPr>
            <w:tcW w:type="dxa" w:w="156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BP</w:t>
            </w:r>
          </w:p>
        </w:tc>
        <w:tc>
          <w:tcPr>
            <w:tcW w:type="dxa" w:w="156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138/86 mmHg</w:t>
            </w:r>
          </w:p>
        </w:tc>
      </w:tr>
      <w:tr>
        <w:tc>
          <w:tcPr>
            <w:tcW w:type="dxa" w:w="156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Resp. Rate</w:t>
            </w:r>
          </w:p>
        </w:tc>
        <w:tc>
          <w:tcPr>
            <w:tcW w:type="dxa" w:w="156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22/min</w:t>
            </w:r>
          </w:p>
        </w:tc>
        <w:tc>
          <w:tcPr>
            <w:tcW w:type="dxa" w:w="156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SpO₂</w:t>
            </w:r>
          </w:p>
        </w:tc>
        <w:tc>
          <w:tcPr>
            <w:tcW w:type="dxa" w:w="156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94% (room air)</w:t>
            </w:r>
          </w:p>
        </w:tc>
        <w:tc>
          <w:tcPr>
            <w:tcW w:type="dxa" w:w="156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BMI</w:t>
            </w:r>
          </w:p>
        </w:tc>
        <w:tc>
          <w:tcPr>
            <w:tcW w:type="dxa" w:w="156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27.8 kg/m²</w:t>
            </w:r>
          </w:p>
        </w:tc>
      </w:tr>
    </w:tbl>
    <w:p>
      <w:pPr>
        <w:spacing w:before="160"/>
      </w:pPr>
    </w:p>
    <w:p>
      <w:pPr>
        <w:pStyle w:val="Heading2"/>
        <w:spacing w:before="240" w:after="120"/>
      </w:pPr>
      <w:r>
        <w:t xml:space="preserve">8.2 General Appearance</w:t>
      </w:r>
    </w:p>
    <w:p>
      <w:pPr>
        <w:spacing w:after="100" w:line="360"/>
      </w:pPr>
      <w:r>
        <w:t xml:space="preserve">Alert and oriented × 3. Appears fatigued but in no acute distress at rest. Well-groomed, appropriate affect. Occasional coughing episodes during examination, with production of yellowish sputum into a tissue. Skin warm and slightly flushed.</w:t>
      </w:r>
    </w:p>
    <w:p>
      <w:pPr>
        <w:pStyle w:val="Heading2"/>
        <w:spacing w:before="240" w:after="120"/>
      </w:pPr>
      <w:r>
        <w:t xml:space="preserve">8.3 Head, Eyes, Ears, Nose, Throat (HEENT)</w:t>
      </w:r>
    </w:p>
    <w:p>
      <w:pPr>
        <w:spacing w:after="100" w:line="360"/>
      </w:pPr>
      <w:r>
        <w:t xml:space="preserve">Normocephalic, atraumatic. Pupils equal, round, and reactive to light. Tympanic membranes clear bilaterally. Nasal mucosa mildly congested without purulent discharge. Oropharynx: mild erythema without exudates or tonsillar enlargement. No cervical lymphadenopathy.</w:t>
      </w:r>
    </w:p>
    <w:p>
      <w:pPr>
        <w:pStyle w:val="Heading2"/>
        <w:spacing w:before="240" w:after="120"/>
      </w:pPr>
      <w:r>
        <w:t xml:space="preserve">8.4 Respiratory</w:t>
      </w:r>
    </w:p>
    <w:p>
      <w:pPr>
        <w:spacing w:after="100" w:line="360"/>
      </w:pPr>
      <w:r>
        <w:t xml:space="preserve">Inspection: Respiratory effort mildly increased. No use of accessory muscles at rest. No visible chest wall deformities.</w:t>
      </w:r>
    </w:p>
    <w:p>
      <w:pPr>
        <w:spacing w:after="100" w:line="360"/>
      </w:pPr>
      <w:r>
        <w:t xml:space="preserve">Palpation: Tactile fremitus mildly increased over the right lower posterior chest. No palpable chest wall tenderness.</w:t>
      </w:r>
    </w:p>
    <w:p>
      <w:pPr>
        <w:spacing w:after="100" w:line="360"/>
      </w:pPr>
      <w:r>
        <w:t xml:space="preserve">Percussion: Dullness to percussion noted over the right lower lung field posteriorly, approximately at the level of T7-T10.</w:t>
      </w:r>
    </w:p>
    <w:p>
      <w:pPr>
        <w:spacing w:after="100" w:line="360"/>
      </w:pPr>
      <w:r>
        <w:t xml:space="preserve">Auscultation: Bronchial breath sounds and coarse crackles (rales) appreciated over the right lower lobe posteriorly. Fine end-inspiratory crackles noted in the right mid-lung field. Vesicular breath sounds heard over remaining lung fields. No wheezing or rhonchi. Egophony present over the right lower posterior chest (patient vocalizes 'ee' — examiner hears 'ay').</w:t>
      </w:r>
    </w:p>
    <w:p>
      <w:pPr>
        <w:pStyle w:val="Heading2"/>
        <w:spacing w:before="240" w:after="120"/>
      </w:pPr>
      <w:r>
        <w:t xml:space="preserve">8.5 Cardiovascular</w:t>
      </w:r>
    </w:p>
    <w:p>
      <w:pPr>
        <w:spacing w:after="100" w:line="360"/>
      </w:pPr>
      <w:r>
        <w:t xml:space="preserve">Regular rate and rhythm. S1 and S2 normal. No murmurs, gallops, or rubs. No jugular venous distention. Peripheral pulses 2+ bilaterally. No peripheral edema.</w:t>
      </w:r>
    </w:p>
    <w:p>
      <w:pPr>
        <w:pStyle w:val="Heading2"/>
        <w:spacing w:before="240" w:after="120"/>
      </w:pPr>
      <w:r>
        <w:t xml:space="preserve">8.6 Abdomen</w:t>
      </w:r>
    </w:p>
    <w:p>
      <w:pPr>
        <w:spacing w:after="100" w:line="360"/>
      </w:pPr>
      <w:r>
        <w:t xml:space="preserve">Soft, non-tender, non-distended. Normal bowel sounds in all four quadrants. No hepatosplenomegaly. No masses. Well-healed surgical scar at McBurney's point (appendectomy).</w:t>
      </w:r>
    </w:p>
    <w:p>
      <w:pPr>
        <w:pStyle w:val="Heading2"/>
        <w:spacing w:before="240" w:after="120"/>
      </w:pPr>
      <w:r>
        <w:t xml:space="preserve">8.7 Extremities</w:t>
      </w:r>
    </w:p>
    <w:p>
      <w:pPr>
        <w:spacing w:after="100" w:line="360"/>
      </w:pPr>
      <w:r>
        <w:t xml:space="preserve">No clubbing, cyanosis, or edema. Warm and well-perfused. Full range of motion in all extremities.</w:t>
      </w:r>
    </w:p>
    <w:p>
      <w:pPr>
        <w:pStyle w:val="Heading2"/>
        <w:spacing w:before="240" w:after="120"/>
      </w:pPr>
      <w:r>
        <w:t xml:space="preserve">8.8 Neurological</w:t>
      </w:r>
    </w:p>
    <w:p>
      <w:pPr>
        <w:spacing w:after="100" w:line="360"/>
      </w:pPr>
      <w:r>
        <w:t xml:space="preserve">Alert and oriented to person, place, and time. Cranial nerves II-XII grossly intact. Motor strength 5/5 in all extremities. Sensation intact to light touch. Coordination normal on finger-to-nose testing. Gait steady.</w:t>
      </w:r>
    </w:p>
    <w:p>
      <w:r>
        <w:br w:type="page"/>
      </w:r>
    </w:p>
    <w:p>
      <w:pPr>
        <w:pStyle w:val="Heading1"/>
        <w:spacing w:before="360" w:after="160"/>
      </w:pPr>
      <w:r>
        <w:t xml:space="preserve">9. Auxiliary Examinations</w:t>
      </w:r>
    </w:p>
    <w:p>
      <w:pPr>
        <w:pStyle w:val="Heading2"/>
        <w:spacing w:before="240" w:after="120"/>
      </w:pPr>
      <w:r>
        <w:t xml:space="preserve">9.1 Chest X-Ray (PA and Lateral Views) — Performed Today</w:t>
      </w:r>
    </w:p>
    <w:p>
      <w:pPr>
        <w:spacing w:after="100" w:line="360"/>
      </w:pPr>
      <w:r>
        <w:t xml:space="preserve">Findings: Right lower lobe consolidation with air bronchograms, consistent with lobar pneumonia. No evidence of pleural effusion. Cardiomediastinal silhouette within normal limits. Left lung clear. No cavitary lesions or masses identified. No pneumothorax.</w:t>
      </w:r>
    </w:p>
    <w:p>
      <w:pPr>
        <w:spacing w:after="100" w:line="360"/>
      </w:pPr>
      <w:r>
        <w:t xml:space="preserve">Impression: Right lower lobe consolidation, most consistent with community-acquired pneumonia.</w:t>
      </w:r>
    </w:p>
    <w:p>
      <w:pPr>
        <w:pStyle w:val="Heading2"/>
        <w:spacing w:before="240" w:after="120"/>
      </w:pPr>
      <w:r>
        <w:t xml:space="preserve">9.2 Laboratory Results (Stat Labs — Drawn Today, Results Pending)</w:t>
      </w:r>
    </w:p>
    <w:p>
      <w:pPr>
        <w:spacing w:after="80" w:line="360"/>
      </w:pPr>
      <w:r>
        <w:rPr>
          <w:b/>
          <w:bCs/>
        </w:rPr>
        <w:t xml:space="preserve">Complete Blood Count (CBC) with differential:</w:t>
      </w:r>
      <w:r>
        <w:rPr>
          <w:i/>
          <w:iCs/>
          <w:color w:val="999999"/>
        </w:rPr>
        <w:t xml:space="preserve">  To be completed</w:t>
      </w:r>
    </w:p>
    <w:p>
      <w:pPr>
        <w:spacing w:after="80" w:line="360"/>
      </w:pPr>
      <w:r>
        <w:rPr>
          <w:b/>
          <w:bCs/>
        </w:rPr>
        <w:t xml:space="preserve">C-reactive protein (CRP):</w:t>
      </w:r>
      <w:r>
        <w:rPr>
          <w:i/>
          <w:iCs/>
          <w:color w:val="999999"/>
        </w:rPr>
        <w:t xml:space="preserve">  To be completed</w:t>
      </w:r>
    </w:p>
    <w:p>
      <w:pPr>
        <w:spacing w:after="80" w:line="360"/>
      </w:pPr>
      <w:r>
        <w:rPr>
          <w:b/>
          <w:bCs/>
        </w:rPr>
        <w:t xml:space="preserve">Procalcitonin:</w:t>
      </w:r>
      <w:r>
        <w:rPr>
          <w:i/>
          <w:iCs/>
          <w:color w:val="999999"/>
        </w:rPr>
        <w:t xml:space="preserve">  To be completed</w:t>
      </w:r>
    </w:p>
    <w:p>
      <w:pPr>
        <w:spacing w:after="80" w:line="360"/>
      </w:pPr>
      <w:r>
        <w:rPr>
          <w:b/>
          <w:bCs/>
        </w:rPr>
        <w:t xml:space="preserve">Basic metabolic panel (BMP):</w:t>
      </w:r>
      <w:r>
        <w:rPr>
          <w:i/>
          <w:iCs/>
          <w:color w:val="999999"/>
        </w:rPr>
        <w:t xml:space="preserve">  To be completed</w:t>
      </w:r>
    </w:p>
    <w:p>
      <w:pPr>
        <w:spacing w:after="80" w:line="360"/>
      </w:pPr>
      <w:r>
        <w:rPr>
          <w:b/>
          <w:bCs/>
        </w:rPr>
        <w:t xml:space="preserve">Blood cultures × 2 (aerobic and anaerobic):</w:t>
      </w:r>
      <w:r>
        <w:rPr>
          <w:i/>
          <w:iCs/>
          <w:color w:val="999999"/>
        </w:rPr>
        <w:t xml:space="preserve">  To be completed</w:t>
      </w:r>
    </w:p>
    <w:p>
      <w:pPr>
        <w:pStyle w:val="Heading2"/>
        <w:spacing w:before="240" w:after="120"/>
      </w:pPr>
      <w:r>
        <w:t xml:space="preserve">9.3 Sputum Studies</w:t>
      </w:r>
    </w:p>
    <w:p>
      <w:pPr>
        <w:spacing w:after="80" w:line="360"/>
      </w:pPr>
      <w:r>
        <w:rPr>
          <w:b/>
          <w:bCs/>
        </w:rPr>
        <w:t xml:space="preserve">Sputum Gram stain and culture:</w:t>
      </w:r>
      <w:r>
        <w:rPr>
          <w:i/>
          <w:iCs/>
          <w:color w:val="999999"/>
        </w:rPr>
        <w:t xml:space="preserve">  To be completed</w:t>
      </w:r>
    </w:p>
    <w:p>
      <w:pPr>
        <w:spacing w:after="100" w:line="360"/>
      </w:pPr>
      <w:r>
        <w:t xml:space="preserve">Note: Sputum sample collected during visit. Gram stain pending. Culture and sensitivity results expected in 48-72 hours.</w:t>
      </w:r>
    </w:p>
    <w:p>
      <w:pPr>
        <w:pStyle w:val="Heading2"/>
        <w:spacing w:before="240" w:after="120"/>
      </w:pPr>
      <w:r>
        <w:t xml:space="preserve">9.4 Additional Studies (To Be Ordered)</w:t>
      </w:r>
    </w:p>
    <w:p>
      <w:pPr>
        <w:spacing w:after="80" w:line="360"/>
      </w:pPr>
      <w:r>
        <w:rPr>
          <w:b/>
          <w:bCs/>
        </w:rPr>
        <w:t xml:space="preserve">ECG (12-lead):</w:t>
      </w:r>
      <w:r>
        <w:rPr>
          <w:i/>
          <w:iCs/>
          <w:color w:val="999999"/>
        </w:rPr>
        <w:t xml:space="preserve">  To be completed</w:t>
      </w:r>
    </w:p>
    <w:p>
      <w:pPr>
        <w:spacing w:after="100" w:line="360"/>
      </w:pPr>
      <w:r>
        <w:t xml:space="preserve">Rationale: Baseline assessment in a patient with cardiovascular risk factors (hypertension, hyperlipidemia, smoking) prior to initiating antibiotic therapy.</w:t>
      </w:r>
    </w:p>
    <w:p>
      <w:pPr>
        <w:pBdr>
          <w:bottom w:val="single" w:color="CCCCCC" w:sz="4" w:space="1"/>
        </w:pBdr>
        <w:spacing w:before="60" w:after="60"/>
      </w:pPr>
    </w:p>
    <w:p>
      <w:pPr>
        <w:pStyle w:val="Heading1"/>
        <w:spacing w:before="360" w:after="160"/>
      </w:pPr>
      <w:r>
        <w:t xml:space="preserve">10. Preliminary Diagnosis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8560"/>
      </w:tblGrid>
      <w:tr>
        <w:tc>
          <w:tcPr>
            <w:tcW w:type="dxa" w:w="80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w:t>
            </w:r>
          </w:p>
        </w:tc>
        <w:tc>
          <w:tcPr>
            <w:tcW w:type="dxa" w:w="8560"/>
            <w:tcBorders>
              <w:top w:val="single" w:color="AAAAAA" w:sz="1"/>
              <w:left w:val="single" w:color="AAAAAA" w:sz="1"/>
              <w:bottom w:val="single" w:color="AAAAAA" w:sz="1"/>
              <w:right w:val="single" w:color="AAAAAA" w:sz="1"/>
            </w:tcBorders>
            <w:shd w:fill="E8EDF2" w:val="clear"/>
            <w:tcMar>
              <w:top w:type="dxa" w:w="60"/>
              <w:left w:type="dxa" w:w="100"/>
              <w:bottom w:type="dxa" w:w="60"/>
              <w:right w:type="dxa" w:w="100"/>
            </w:tcMar>
          </w:tcPr>
          <w:p>
            <w:r>
              <w:rPr>
                <w:b/>
                <w:bCs/>
                <w:sz w:val="20"/>
                <w:szCs w:val="20"/>
              </w:rPr>
              <w:t xml:space="preserve">Diagnosis</w:t>
            </w:r>
          </w:p>
        </w:tc>
      </w:tr>
      <w:tr>
        <w:tc>
          <w:tcPr>
            <w:tcW w:type="dxa" w:w="80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1.</w:t>
            </w:r>
          </w:p>
        </w:tc>
        <w:tc>
          <w:tcPr>
            <w:tcW w:type="dxa" w:w="856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Community-Acquired Pneumonia (CAP), right lower lobe, moderate severity. Suspected bacterial etiology — most likely Streptococcus pneumoniae. (ICD-10: J18.1)</w:t>
            </w:r>
          </w:p>
        </w:tc>
      </w:tr>
      <w:tr>
        <w:tc>
          <w:tcPr>
            <w:tcW w:type="dxa" w:w="80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2.</w:t>
            </w:r>
          </w:p>
        </w:tc>
        <w:tc>
          <w:tcPr>
            <w:tcW w:type="dxa" w:w="856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Essential (primary) hypertension, well-controlled on current regimen. (ICD-10: I10)</w:t>
            </w:r>
          </w:p>
        </w:tc>
      </w:tr>
      <w:tr>
        <w:tc>
          <w:tcPr>
            <w:tcW w:type="dxa" w:w="80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3.</w:t>
            </w:r>
          </w:p>
        </w:tc>
        <w:tc>
          <w:tcPr>
            <w:tcW w:type="dxa" w:w="856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Hyperlipidemia, not on pharmacotherapy. (ICD-10: E78.5)</w:t>
            </w:r>
          </w:p>
        </w:tc>
      </w:tr>
      <w:tr>
        <w:tc>
          <w:tcPr>
            <w:tcW w:type="dxa" w:w="80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4.</w:t>
            </w:r>
          </w:p>
        </w:tc>
        <w:tc>
          <w:tcPr>
            <w:tcW w:type="dxa" w:w="856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Nicotine dependence. (ICD-10: F17.200)</w:t>
            </w:r>
          </w:p>
        </w:tc>
      </w:tr>
      <w:tr>
        <w:tc>
          <w:tcPr>
            <w:tcW w:type="dxa" w:w="80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5.</w:t>
            </w:r>
          </w:p>
        </w:tc>
        <w:tc>
          <w:tcPr>
            <w:tcW w:type="dxa" w:w="8560"/>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sz w:val="20"/>
                <w:szCs w:val="20"/>
              </w:rPr>
              <w:t xml:space="preserve">Overweight (BMI 27.8 kg/m²). (ICD-10: E66.3)</w:t>
            </w:r>
          </w:p>
        </w:tc>
      </w:tr>
    </w:tbl>
    <w:p>
      <w:pPr>
        <w:pStyle w:val="Heading2"/>
        <w:spacing w:before="240" w:after="120"/>
      </w:pPr>
      <w:r>
        <w:t xml:space="preserve">10.1 Differential Diagnoses Considered</w:t>
      </w:r>
    </w:p>
    <w:p>
      <w:pPr>
        <w:spacing w:after="100" w:line="360"/>
      </w:pPr>
      <w:r>
        <w:t xml:space="preserve">Acute bronchitis — less likely given presence of consolidation on chest X-ray and focal crackles on auscultation.</w:t>
      </w:r>
    </w:p>
    <w:p>
      <w:pPr>
        <w:spacing w:after="100" w:line="360"/>
      </w:pPr>
      <w:r>
        <w:t xml:space="preserve">Pulmonary tuberculosis — less likely given acute presentation and X-ray pattern without cavitation. However, to be reconsidered if the patient fails to respond to empiric antibiotic therapy.</w:t>
      </w:r>
    </w:p>
    <w:p>
      <w:pPr>
        <w:spacing w:after="100" w:line="360"/>
      </w:pPr>
      <w:r>
        <w:t xml:space="preserve">COVID-19 pneumonia — cannot be excluded without testing. To be evaluated if clinical course is atypical or if there is known exposure.</w:t>
      </w:r>
    </w:p>
    <w:p>
      <w:pPr>
        <w:spacing w:after="100" w:line="360"/>
      </w:pPr>
      <w:r>
        <w:t xml:space="preserve">Lung malignancy with post-obstructive pneumonia — less likely in a 44-year-old, but smoking history warrants vigilance. Follow-up imaging after resolution is indicated.</w:t>
      </w:r>
    </w:p>
    <w:p>
      <w:pPr>
        <w:pBdr>
          <w:bottom w:val="single" w:color="CCCCCC" w:sz="4" w:space="1"/>
        </w:pBdr>
        <w:spacing w:before="60" w:after="60"/>
      </w:pPr>
    </w:p>
    <w:p>
      <w:pPr>
        <w:pStyle w:val="Heading1"/>
        <w:spacing w:before="360" w:after="160"/>
      </w:pPr>
      <w:r>
        <w:t xml:space="preserve">11. Treatment Plan</w:t>
      </w:r>
    </w:p>
    <w:p>
      <w:pPr>
        <w:pStyle w:val="Heading2"/>
        <w:spacing w:before="240" w:after="120"/>
      </w:pPr>
      <w:r>
        <w:t xml:space="preserve">11.1 Antimicrobial Therapy</w:t>
      </w:r>
    </w:p>
    <w:p>
      <w:pPr>
        <w:spacing w:after="100" w:line="360"/>
      </w:pPr>
      <w:r>
        <w:t xml:space="preserve">Initiate empiric antibiotic therapy for community-acquired pneumonia per current IDSA/ATS guidelines. The patient has no risk factors for drug-resistant pathogens (no recent hospitalization, no prior antibiotic use within 90 days, no immunosuppression):</w:t>
      </w:r>
    </w:p>
    <w:p>
      <w:pPr>
        <w:spacing w:after="100" w:line="360"/>
      </w:pPr>
      <w:r>
        <w:t xml:space="preserve">Amoxicillin-clavulanate 875 mg/125 mg PO every 12 hours for 7 days. Dispense #14 tablets. Take with food to minimize gastrointestinal side effects.</w:t>
      </w:r>
    </w:p>
    <w:p>
      <w:pPr>
        <w:spacing w:after="100" w:line="360"/>
      </w:pPr>
      <w:r>
        <w:t xml:space="preserve">PLUS Azithromycin 500 mg PO on Day 1, followed by 250 mg PO daily on Days 2-5. Dispense #6 tablets (one 500 mg tablet plus five 250 mg tablets).</w:t>
      </w:r>
    </w:p>
    <w:p>
      <w:pPr>
        <w:pStyle w:val="Heading2"/>
        <w:spacing w:before="240" w:after="120"/>
      </w:pPr>
      <w:r>
        <w:t xml:space="preserve">11.2 Symptomatic Management</w:t>
      </w:r>
    </w:p>
    <w:p>
      <w:pPr>
        <w:spacing w:after="100" w:line="360"/>
      </w:pPr>
      <w:r>
        <w:t xml:space="preserve">Acetaminophen 500 mg PO every 6 hours as needed for fever (&gt;38.0°C) or pain. Do not exceed 3,000 mg in 24 hours. Patient advised to discontinue ibuprofen during acute illness to avoid potential renal effects.</w:t>
      </w:r>
    </w:p>
    <w:p>
      <w:pPr>
        <w:spacing w:after="100" w:line="360"/>
      </w:pPr>
      <w:r>
        <w:t xml:space="preserve">Guaifenesin 400 mg PO every 4 hours as needed to assist with mucus clearance. Encourage adequate hydration (at least 2 liters of water daily unless contraindicated).</w:t>
      </w:r>
    </w:p>
    <w:p>
      <w:pPr>
        <w:spacing w:after="100" w:line="360"/>
      </w:pPr>
      <w:r>
        <w:t xml:space="preserve">Avoid cough suppressants (e.g., dextromethorphan) during productive cough phase — suppressing cough may impair clearance of infected secretions.</w:t>
      </w:r>
    </w:p>
    <w:p>
      <w:pPr>
        <w:pStyle w:val="Heading2"/>
        <w:spacing w:before="240" w:after="120"/>
      </w:pPr>
      <w:r>
        <w:t xml:space="preserve">11.3 Chronic Condition Management</w:t>
      </w:r>
    </w:p>
    <w:p>
      <w:pPr>
        <w:spacing w:after="100" w:line="360"/>
      </w:pPr>
      <w:r>
        <w:t xml:space="preserve">Continue amlodipine 5 mg PO daily for hypertension. Monitor blood pressure at home twice daily (morning and evening) during illness. Contact clinic if systolic BP consistently exceeds 150 mmHg or falls below 100 mmHg.</w:t>
      </w:r>
    </w:p>
    <w:p>
      <w:pPr>
        <w:spacing w:after="100" w:line="360"/>
      </w:pPr>
      <w:r>
        <w:t xml:space="preserve">Smoking cessation counseling provided during this visit. Patient expressed willingness to consider a structured cessation program. Referral to smoking cessation clinic offered and accepted. Prescription for nicotine replacement therapy (nicotine patch 21 mg/24 hr) provided — start after resolution of acute illness.</w:t>
      </w:r>
    </w:p>
    <w:p>
      <w:pPr>
        <w:pStyle w:val="Heading2"/>
        <w:spacing w:before="240" w:after="120"/>
      </w:pPr>
      <w:r>
        <w:t xml:space="preserve">11.4 Non-Pharmacologic Recommendations</w:t>
      </w:r>
    </w:p>
    <w:p>
      <w:pPr>
        <w:spacing w:after="100" w:line="360"/>
      </w:pPr>
      <w:r>
        <w:t xml:space="preserve">Rest at home for a minimum of 5-7 days. Avoid strenuous physical activity until afebrile for at least 48 hours and symptoms have significantly improved. Increase fluid intake. Use a humidifier at home if available. Sleep with head of bed elevated to ease breathing at night.</w:t>
      </w:r>
    </w:p>
    <w:p>
      <w:pPr>
        <w:pBdr>
          <w:bottom w:val="single" w:color="CCCCCC" w:sz="4" w:space="1"/>
        </w:pBdr>
        <w:spacing w:before="60" w:after="60"/>
      </w:pPr>
    </w:p>
    <w:p>
      <w:pPr>
        <w:pStyle w:val="Heading1"/>
        <w:spacing w:before="360" w:after="160"/>
      </w:pPr>
      <w:r>
        <w:t xml:space="preserve">12. Follow-Up Recommendations</w:t>
      </w:r>
    </w:p>
    <w:p>
      <w:pPr>
        <w:pStyle w:val="Heading2"/>
        <w:spacing w:before="240" w:after="120"/>
      </w:pPr>
      <w:r>
        <w:t xml:space="preserve">12.1 Return Precautions</w:t>
      </w:r>
    </w:p>
    <w:p>
      <w:pPr>
        <w:spacing w:after="100" w:line="360"/>
      </w:pPr>
      <w:r>
        <w:t xml:space="preserve">The patient was counseled on red-flag symptoms that warrant immediate return to the Emergency Department:</w:t>
      </w:r>
    </w:p>
    <w:p>
      <w:pPr>
        <w:spacing w:after="100" w:line="360"/>
      </w:pPr>
      <w:r>
        <w:t xml:space="preserve">Shortness of breath at rest or with minimal exertion (e.g., talking, eating). Chest pain that is severe, crushing, or radiates to jaw/arm. Fever persisting beyond 72 hours of antibiotic therapy or exceeding 39.5°C at any point. Confusion, disorientation, or excessive drowsiness. Bluish discoloration of lips or fingertips (cyanosis). Inability to tolerate oral fluids or medications.</w:t>
      </w:r>
    </w:p>
    <w:p>
      <w:pPr>
        <w:pStyle w:val="Heading2"/>
        <w:spacing w:before="240" w:after="120"/>
      </w:pPr>
      <w:r>
        <w:t xml:space="preserve">12.2 Scheduled Follow-Up</w:t>
      </w:r>
    </w:p>
    <w:p>
      <w:pPr>
        <w:spacing w:after="80" w:line="360"/>
      </w:pPr>
      <w:r>
        <w:rPr>
          <w:b/>
          <w:bCs/>
        </w:rPr>
        <w:t xml:space="preserve">Date:</w:t>
      </w:r>
      <w:r>
        <w:t xml:space="preserve">  July 17, 2026 (7 days) — Return to Internal Medicine Clinic for clinical reassessment. Bring all completed laboratory results.</w:t>
      </w:r>
    </w:p>
    <w:p>
      <w:pPr>
        <w:spacing w:after="80" w:line="360"/>
      </w:pPr>
      <w:r>
        <w:rPr>
          <w:b/>
          <w:bCs/>
        </w:rPr>
        <w:t xml:space="preserve">Provider:</w:t>
      </w:r>
      <w:r>
        <w:t xml:space="preserve">  Dr. Sarah Chen, MD — or covering physician if unavailable.</w:t>
      </w:r>
    </w:p>
    <w:p>
      <w:pPr>
        <w:spacing w:after="100" w:line="360"/>
      </w:pPr>
      <w:r>
        <w:t xml:space="preserve">At follow-up visit: assess clinical response to antibiotic therapy (resolution of fever, improvement in cough and sputum production, resolution of chest pain). Repeat vital signs and focused respiratory examination. Review pending laboratory results (CBC, CRP, procalcitonin, sputum culture, blood cultures). Adjust antibiotic therapy based on culture and sensitivity results if target pathogen is identified.</w:t>
      </w:r>
    </w:p>
    <w:p>
      <w:pPr>
        <w:pStyle w:val="Heading2"/>
        <w:spacing w:before="240" w:after="120"/>
      </w:pPr>
      <w:r>
        <w:t xml:space="preserve">12.3 Follow-Up Chest Imaging</w:t>
      </w:r>
    </w:p>
    <w:p>
      <w:pPr>
        <w:spacing w:after="100" w:line="360"/>
      </w:pPr>
      <w:r>
        <w:t xml:space="preserve">Repeat chest X-ray (PA and lateral) in 4-6 weeks (approximately August 7-21, 2026) to confirm radiographic resolution of the right lower lobe consolidation and to exclude any underlying mass or nodule. This is particularly important given the patient's 20-pack-year smoking history.</w:t>
      </w:r>
    </w:p>
    <w:p>
      <w:pPr>
        <w:pStyle w:val="Heading2"/>
        <w:spacing w:before="240" w:after="120"/>
      </w:pPr>
      <w:r>
        <w:t xml:space="preserve">12.4 Additional Referrals</w:t>
      </w:r>
    </w:p>
    <w:p>
      <w:pPr>
        <w:spacing w:after="100" w:line="360"/>
      </w:pPr>
      <w:r>
        <w:t xml:space="preserve">Smoking cessation clinic — initial consultation within 2 weeks of pneumonia resolution. Cardiology follow-up — routine; next scheduled appointment in 3 months for hypertension and hyperlipidemia management. Consider initiating statin therapy at that visit per ASCVD risk assessment.</w:t>
      </w:r>
    </w:p>
    <w:p>
      <w:pPr>
        <w:spacing w:before="400"/>
      </w:pPr>
    </w:p>
    <w:p>
      <w:pPr>
        <w:jc w:val="center"/>
      </w:pPr>
      <w:r>
        <w:rPr>
          <w:rFonts w:ascii="Arial" w:cs="Arial" w:eastAsia="Arial" w:hAnsi="Arial"/>
          <w:i/>
          <w:iCs/>
          <w:color w:val="999999"/>
          <w:sz w:val="18"/>
          <w:szCs w:val="18"/>
        </w:rPr>
        <w:t xml:space="preserve">— End of Record —</w:t>
      </w:r>
    </w:p>
    <w:p>
      <w:pPr>
        <w:spacing w:after="240"/>
        <w:jc w:val="center"/>
      </w:pPr>
      <w:r>
        <w:rPr>
          <w:rFonts w:ascii="Arial" w:cs="Arial" w:eastAsia="Arial" w:hAnsi="Arial"/>
          <w:i/>
          <w:iCs/>
          <w:color w:val="BBBBBB"/>
          <w:sz w:val="16"/>
          <w:szCs w:val="16"/>
        </w:rPr>
        <w:t xml:space="preserve">This is a simulated medical record created for educational and training purposes. All patient data is fictitious.</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jc w:val="center"/>
    </w:pPr>
    <w:r>
      <w:rPr>
        <w:rFonts w:ascii="Arial" w:cs="Arial" w:eastAsia="Arial" w:hAnsi="Arial"/>
        <w:color w:val="999999"/>
        <w:sz w:val="16"/>
        <w:szCs w:val="16"/>
      </w:rPr>
      <w:t xml:space="preserve">Page </w:t>
    </w:r>
    <w:r>
      <w:rPr>
        <w:rFonts w:ascii="Arial" w:cs="Arial" w:eastAsia="Arial" w:hAnsi="Arial"/>
        <w:color w:val="999999"/>
        <w:sz w:val="16"/>
        <w:szCs w:val="16"/>
      </w:rPr>
      <w:fldChar w:fldCharType="begin"/>
      <w:instrText xml:space="preserve">PAGE</w:instrText>
      <w:fldChar w:fldCharType="separate"/>
      <w:fldChar w:fldCharType="end"/>
    </w:r>
    <w:r>
      <w:rPr>
        <w:rFonts w:ascii="Arial" w:cs="Arial" w:eastAsia="Arial" w:hAnsi="Arial"/>
        <w:color w:val="BBBBBB"/>
        <w:sz w:val="16"/>
        <w:szCs w:val="16"/>
      </w:rPr>
      <w:t xml:space="preserve">  |  This is a simulated record for educational use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jc w:val="right"/>
    </w:pPr>
    <w:r>
      <w:rPr>
        <w:rFonts w:ascii="Arial" w:cs="Arial" w:eastAsia="Arial" w:hAnsi="Arial"/>
        <w:b/>
        <w:bCs/>
        <w:color w:val="888888"/>
        <w:sz w:val="16"/>
        <w:szCs w:val="16"/>
      </w:rPr>
      <w:t xml:space="preserve">OUTPATIENT MEDICAL RECORD</w:t>
    </w:r>
    <w:r>
      <w:rPr>
        <w:rFonts w:ascii="Arial" w:cs="Arial" w:eastAsia="Arial" w:hAnsi="Arial"/>
        <w:color w:val="AAAAAA"/>
        <w:sz w:val="16"/>
        <w:szCs w:val="16"/>
      </w:rPr>
      <w:t xml:space="preserve">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20" w:after="140"/>
      <w:outlineLvl w:val="0"/>
    </w:pPr>
    <w:rPr>
      <w:rFonts w:ascii="Arial" w:cs="Arial" w:eastAsia="Arial" w:hAnsi="Arial"/>
      <w:b/>
      <w:bCs/>
      <w:color w:val="1A3C6E"/>
      <w:sz w:val="30"/>
      <w:szCs w:val="30"/>
    </w:rPr>
  </w:style>
  <w:style w:type="paragraph" w:styleId="Heading2">
    <w:name w:val="Heading 2"/>
    <w:basedOn w:val="Normal"/>
    <w:next w:val="Normal"/>
    <w:qFormat/>
    <w:pPr>
      <w:spacing w:before="200" w:after="100"/>
      <w:outlineLvl w:val="1"/>
    </w:pPr>
    <w:rPr>
      <w:rFonts w:ascii="Arial" w:cs="Arial" w:eastAsia="Arial" w:hAnsi="Arial"/>
      <w:b/>
      <w:bCs/>
      <w:color w:val="2B579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ideaShell</dc:creator>
  <dc:description>Simulated outpatient medical record for educational purposes</dc:description>
  <cp:lastModifiedBy>ideaShell</cp:lastModifiedBy>
  <cp:revision>1</cp:revision>
  <dcterms:created xsi:type="dcterms:W3CDTF">2026-07-10T07:54:49.591Z</dcterms:created>
  <dcterms:modified xsi:type="dcterms:W3CDTF">2026-07-10T07:54:49.598Z</dcterms:modified>
</cp:coreProperties>
</file>

<file path=docProps/custom.xml><?xml version="1.0" encoding="utf-8"?>
<Properties xmlns="http://schemas.openxmlformats.org/officeDocument/2006/custom-properties" xmlns:vt="http://schemas.openxmlformats.org/officeDocument/2006/docPropsVTypes"/>
</file>